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52EDCEC8" w:rsidR="000F3DAC" w:rsidRDefault="000F3DAC" w:rsidP="002B2FDC">
      <w:pPr>
        <w:spacing w:line="0" w:lineRule="atLeast"/>
        <w:ind w:right="-157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</w:p>
    <w:p w14:paraId="6CED7D4E" w14:textId="16D70BD6" w:rsidR="002C1977" w:rsidRPr="00E90267" w:rsidRDefault="000F3DAC" w:rsidP="002B2FDC">
      <w:pPr>
        <w:spacing w:line="0" w:lineRule="atLeast"/>
        <w:ind w:right="-157"/>
        <w:jc w:val="both"/>
        <w:rPr>
          <w:noProof/>
        </w:rPr>
      </w:pPr>
      <w:r w:rsidRPr="00E90267">
        <w:rPr>
          <w:rFonts w:ascii="Trebuchet MS" w:eastAsia="Trebuchet MS" w:hAnsi="Trebuchet MS"/>
          <w:noProof/>
          <w:color w:val="231F20"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48170238" wp14:editId="07FAA773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1903" cy="21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 w:rsidRPr="00E90267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77777777" w:rsidR="00634285" w:rsidRPr="00E90267" w:rsidRDefault="002C1977" w:rsidP="002B2FDC">
      <w:pPr>
        <w:spacing w:line="0" w:lineRule="atLeast"/>
        <w:ind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E90267">
        <w:rPr>
          <w:noProof/>
          <w:lang w:val="en-US" w:eastAsia="en-US"/>
        </w:rPr>
        <w:drawing>
          <wp:anchor distT="0" distB="0" distL="114300" distR="114300" simplePos="0" relativeHeight="251649024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 w:rsidRPr="00E90267">
        <w:rPr>
          <w:noProof/>
          <w:lang w:val="en-US" w:eastAsia="en-US"/>
        </w:rPr>
        <w:drawing>
          <wp:anchor distT="0" distB="0" distL="114300" distR="114300" simplePos="0" relativeHeight="251655168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77777777" w:rsidR="00634285" w:rsidRPr="00E90267" w:rsidRDefault="00634285" w:rsidP="002B2FDC">
      <w:pPr>
        <w:spacing w:line="0" w:lineRule="atLeast"/>
        <w:ind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2FC1ACE7" w14:textId="52611B22" w:rsidR="00634285" w:rsidRPr="00E90267" w:rsidRDefault="00A109F5" w:rsidP="00A109F5">
      <w:pPr>
        <w:tabs>
          <w:tab w:val="left" w:pos="3690"/>
        </w:tabs>
        <w:spacing w:line="0" w:lineRule="atLeast"/>
        <w:ind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E90267">
        <w:rPr>
          <w:rFonts w:ascii="Trebuchet MS" w:eastAsia="Trebuchet MS" w:hAnsi="Trebuchet MS"/>
          <w:b/>
          <w:color w:val="141F25"/>
          <w:sz w:val="28"/>
          <w:szCs w:val="28"/>
        </w:rPr>
        <w:tab/>
      </w:r>
    </w:p>
    <w:p w14:paraId="3412F87B" w14:textId="77777777" w:rsidR="00634285" w:rsidRPr="00E90267" w:rsidRDefault="00634285" w:rsidP="002B2FDC">
      <w:pPr>
        <w:spacing w:line="0" w:lineRule="atLeast"/>
        <w:ind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56D34300" w14:textId="77777777" w:rsidR="00634285" w:rsidRPr="00E90267" w:rsidRDefault="00634285" w:rsidP="002B2FDC">
      <w:pPr>
        <w:spacing w:line="0" w:lineRule="atLeast"/>
        <w:ind w:right="-157"/>
        <w:jc w:val="both"/>
        <w:rPr>
          <w:rFonts w:ascii="Trebuchet MS" w:eastAsia="Trebuchet MS" w:hAnsi="Trebuchet MS"/>
          <w:b/>
          <w:color w:val="FFFFFF"/>
          <w:sz w:val="28"/>
          <w:szCs w:val="28"/>
        </w:rPr>
      </w:pPr>
    </w:p>
    <w:p w14:paraId="01BE394F" w14:textId="77777777" w:rsidR="00634285" w:rsidRPr="00E90267" w:rsidRDefault="00634285" w:rsidP="002B2FDC">
      <w:pPr>
        <w:spacing w:line="0" w:lineRule="atLeast"/>
        <w:ind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sdt>
      <w:sdtPr>
        <w:rPr>
          <w:rFonts w:ascii="Trebuchet MS" w:eastAsia="Trebuchet MS" w:hAnsi="Trebuchet MS"/>
          <w:b/>
          <w:color w:val="141F25"/>
          <w:sz w:val="24"/>
          <w:szCs w:val="24"/>
        </w:rPr>
        <w:id w:val="851301301"/>
        <w:placeholder>
          <w:docPart w:val="9E672E7E476C4F9D9169071BF1DFE74C"/>
        </w:placeholder>
        <w:text/>
      </w:sdtPr>
      <w:sdtEndPr/>
      <w:sdtContent>
        <w:p w14:paraId="3EF0A5CA" w14:textId="38875BD6" w:rsidR="00634285" w:rsidRPr="00E90267" w:rsidRDefault="00E0639C" w:rsidP="002B2FDC">
          <w:pPr>
            <w:spacing w:line="0" w:lineRule="atLeast"/>
            <w:ind w:left="4540" w:right="-157"/>
            <w:jc w:val="right"/>
            <w:rPr>
              <w:rFonts w:ascii="Trebuchet MS" w:eastAsia="Trebuchet MS" w:hAnsi="Trebuchet MS"/>
              <w:b/>
              <w:color w:val="141F25"/>
              <w:sz w:val="24"/>
              <w:szCs w:val="24"/>
            </w:rPr>
          </w:pPr>
          <w:r w:rsidRPr="00E90267">
            <w:rPr>
              <w:rFonts w:ascii="Trebuchet MS" w:eastAsia="Trebuchet MS" w:hAnsi="Trebuchet MS"/>
              <w:b/>
              <w:color w:val="141F25"/>
              <w:sz w:val="24"/>
              <w:szCs w:val="24"/>
            </w:rPr>
            <w:t>10</w:t>
          </w:r>
          <w:r w:rsidR="008A2C83" w:rsidRPr="00E90267">
            <w:rPr>
              <w:rFonts w:ascii="Trebuchet MS" w:eastAsia="Trebuchet MS" w:hAnsi="Trebuchet MS"/>
              <w:b/>
              <w:color w:val="141F25"/>
              <w:sz w:val="24"/>
              <w:szCs w:val="24"/>
            </w:rPr>
            <w:t>.0</w:t>
          </w:r>
          <w:r w:rsidRPr="00E90267">
            <w:rPr>
              <w:rFonts w:ascii="Trebuchet MS" w:eastAsia="Trebuchet MS" w:hAnsi="Trebuchet MS"/>
              <w:b/>
              <w:color w:val="141F25"/>
              <w:sz w:val="24"/>
              <w:szCs w:val="24"/>
            </w:rPr>
            <w:t>8</w:t>
          </w:r>
          <w:r w:rsidR="008A2C83" w:rsidRPr="00E90267">
            <w:rPr>
              <w:rFonts w:ascii="Trebuchet MS" w:eastAsia="Trebuchet MS" w:hAnsi="Trebuchet MS"/>
              <w:b/>
              <w:color w:val="141F25"/>
              <w:sz w:val="24"/>
              <w:szCs w:val="24"/>
            </w:rPr>
            <w:t>.2021</w:t>
          </w:r>
        </w:p>
      </w:sdtContent>
    </w:sdt>
    <w:p w14:paraId="3115182A" w14:textId="77777777" w:rsidR="00634285" w:rsidRPr="00E90267" w:rsidRDefault="00634285" w:rsidP="002B2FDC">
      <w:pPr>
        <w:spacing w:line="0" w:lineRule="atLeast"/>
        <w:ind w:left="4540"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7E4A2F0F" w14:textId="77777777" w:rsidR="002B2FDC" w:rsidRPr="00E90267" w:rsidRDefault="002B2FDC" w:rsidP="002B2FDC">
      <w:pPr>
        <w:spacing w:line="0" w:lineRule="atLeast"/>
        <w:ind w:right="-157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1F69CDBE" w14:textId="5072A4EB" w:rsidR="003E3DB5" w:rsidRPr="00E90267" w:rsidRDefault="003E3DB5" w:rsidP="002B2FDC">
      <w:pPr>
        <w:spacing w:line="0" w:lineRule="atLeast"/>
        <w:ind w:right="-157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E90267">
        <w:rPr>
          <w:rFonts w:ascii="Trebuchet MS" w:eastAsia="Trebuchet MS" w:hAnsi="Trebuchet MS"/>
          <w:b/>
          <w:color w:val="141F25"/>
          <w:sz w:val="28"/>
          <w:szCs w:val="28"/>
        </w:rPr>
        <w:t>Reabilitarea Centr</w:t>
      </w:r>
      <w:r w:rsidR="00E0639C" w:rsidRPr="00E90267">
        <w:rPr>
          <w:rFonts w:ascii="Trebuchet MS" w:eastAsia="Trebuchet MS" w:hAnsi="Trebuchet MS"/>
          <w:b/>
          <w:color w:val="141F25"/>
          <w:sz w:val="28"/>
          <w:szCs w:val="28"/>
        </w:rPr>
        <w:t>ului</w:t>
      </w:r>
      <w:r w:rsidRPr="00E90267">
        <w:rPr>
          <w:rFonts w:ascii="Trebuchet MS" w:eastAsia="Trebuchet MS" w:hAnsi="Trebuchet MS"/>
          <w:b/>
          <w:color w:val="141F25"/>
          <w:sz w:val="28"/>
          <w:szCs w:val="28"/>
        </w:rPr>
        <w:t xml:space="preserve"> de agrement </w:t>
      </w:r>
      <w:r w:rsidR="00E0639C" w:rsidRPr="00E90267">
        <w:rPr>
          <w:rFonts w:ascii="Trebuchet MS" w:eastAsia="Trebuchet MS" w:hAnsi="Trebuchet MS"/>
          <w:b/>
          <w:color w:val="141F25"/>
          <w:sz w:val="28"/>
          <w:szCs w:val="28"/>
        </w:rPr>
        <w:t>2 Mai</w:t>
      </w:r>
    </w:p>
    <w:p w14:paraId="592DA9B4" w14:textId="77777777" w:rsidR="00E0639C" w:rsidRPr="00E90267" w:rsidRDefault="00E0639C" w:rsidP="002B2FDC">
      <w:pPr>
        <w:spacing w:line="0" w:lineRule="atLeast"/>
        <w:ind w:right="-157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2FCDD012" w14:textId="77777777" w:rsidR="002B2FDC" w:rsidRPr="00E90267" w:rsidRDefault="002B2FDC" w:rsidP="002B2FDC">
      <w:pPr>
        <w:spacing w:line="0" w:lineRule="atLeast"/>
        <w:ind w:right="-15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67A244B8" w14:textId="3B26DD20" w:rsidR="00D46AFF" w:rsidRPr="00E90267" w:rsidRDefault="00D46AFF" w:rsidP="002B2FDC">
      <w:pPr>
        <w:spacing w:line="276" w:lineRule="auto"/>
        <w:ind w:right="-157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</w:rPr>
        <w:t>Strategia de dezvoltare a infrastructurii turistice a Ministerului Tineretului și Sportului prevede modernizarea și dezvoltarea infrastructurii existente dedicate tineretului în cadrul centrelor de agrement și asigurarea unei game variate de activități educaționale</w:t>
      </w:r>
      <w:r w:rsidR="00AD5D6D" w:rsidRPr="00E90267">
        <w:rPr>
          <w:rFonts w:ascii="Trebuchet MS" w:eastAsia="Trebuchet MS" w:hAnsi="Trebuchet MS"/>
          <w:color w:val="231F20"/>
          <w:sz w:val="24"/>
          <w:szCs w:val="24"/>
        </w:rPr>
        <w:t>, sportive</w:t>
      </w:r>
      <w:r w:rsidRPr="00E90267">
        <w:rPr>
          <w:rFonts w:ascii="Trebuchet MS" w:eastAsia="Trebuchet MS" w:hAnsi="Trebuchet MS"/>
          <w:color w:val="231F20"/>
          <w:sz w:val="24"/>
          <w:szCs w:val="24"/>
        </w:rPr>
        <w:t xml:space="preserve"> și de </w:t>
      </w:r>
      <w:r w:rsidR="00AD5D6D" w:rsidRPr="00E90267">
        <w:rPr>
          <w:rFonts w:ascii="Trebuchet MS" w:eastAsia="Trebuchet MS" w:hAnsi="Trebuchet MS"/>
          <w:color w:val="231F20"/>
          <w:sz w:val="24"/>
          <w:szCs w:val="24"/>
        </w:rPr>
        <w:t xml:space="preserve">timp liber de calitate </w:t>
      </w:r>
      <w:r w:rsidRPr="00E90267">
        <w:rPr>
          <w:rFonts w:ascii="Trebuchet MS" w:eastAsia="Trebuchet MS" w:hAnsi="Trebuchet MS"/>
          <w:color w:val="231F20"/>
          <w:sz w:val="24"/>
          <w:szCs w:val="24"/>
        </w:rPr>
        <w:t>pentru tineri.</w:t>
      </w:r>
    </w:p>
    <w:p w14:paraId="36DC08DE" w14:textId="573338CF" w:rsidR="00D46AFF" w:rsidRPr="00E90267" w:rsidRDefault="00D46AFF" w:rsidP="002B2FDC">
      <w:pPr>
        <w:spacing w:line="276" w:lineRule="auto"/>
        <w:ind w:right="-157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368871D2" w14:textId="17E0C5F9" w:rsidR="00E0639C" w:rsidRPr="00E90267" w:rsidRDefault="00D46AFF" w:rsidP="00E0639C">
      <w:pPr>
        <w:spacing w:after="240"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</w:rPr>
        <w:t xml:space="preserve">În acest context, </w:t>
      </w:r>
      <w:r w:rsidR="00E0639C"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Agenția pentru Dezvoltare Regională a Regiunii de Dezvoltare Sud-Est (ADR SE)</w:t>
      </w:r>
      <w:r w:rsidR="00E0639C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, în calitate de Beneficiar, a semnat cu </w:t>
      </w:r>
      <w:r w:rsidR="00E0639C"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Ministerul Investițiilor și Proiectelor Europene</w:t>
      </w:r>
      <w:r w:rsidR="00E0639C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, în calitate de Autoritate de Management pentru Programul Operațional Asistență Tehnică (POAT) 2014 – 2020, contractul de finanţare pentru proiectul </w:t>
      </w:r>
      <w:r w:rsidR="00E0639C" w:rsidRPr="00E90267">
        <w:rPr>
          <w:rFonts w:ascii="Trebuchet MS" w:eastAsia="Trebuchet MS" w:hAnsi="Trebuchet MS"/>
          <w:i/>
          <w:iCs/>
          <w:color w:val="231F20"/>
          <w:sz w:val="24"/>
          <w:szCs w:val="24"/>
          <w:lang w:bidi="ro-RO"/>
        </w:rPr>
        <w:t>„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Sprijin la nivelul Regiunii Sud-Est pentru pregătirea de proiecte finanțate din perioada de programare 2021-2027 pe domeniile: infrastructur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ă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 xml:space="preserve"> rutier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ă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 xml:space="preserve"> de interes jude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ț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 xml:space="preserve">ean, inclusiv variante ocolitoare 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ș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i/sau drumuri de leg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ă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tur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ă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, infrastructur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ă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 xml:space="preserve"> 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ș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i servicii publice de turism, inclusiv obiectivele de patrimoniu cu poten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ț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 xml:space="preserve">ial turistic, centre de agrement/baze turistice (tabere </w:t>
      </w:r>
      <w:r w:rsidR="00EA1398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ș</w:t>
      </w:r>
      <w:r w:rsidR="00E0639C" w:rsidRPr="00E90267">
        <w:rPr>
          <w:rFonts w:ascii="Trebuchet MS" w:eastAsia="Trebuchet MS" w:hAnsi="Trebuchet MS"/>
          <w:b/>
          <w:i/>
          <w:iCs/>
          <w:color w:val="231F20"/>
          <w:sz w:val="24"/>
          <w:szCs w:val="24"/>
          <w:lang w:bidi="ro-RO"/>
        </w:rPr>
        <w:t>colare)”</w:t>
      </w:r>
      <w:r w:rsidR="00E0639C"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 xml:space="preserve"> </w:t>
      </w:r>
      <w:r w:rsidR="00E0639C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Cod SMIS 2014+ 143537/Cod proiect 1.1.147, în data de </w:t>
      </w:r>
      <w:r w:rsidR="00E0639C"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4 august 2021</w:t>
      </w:r>
      <w:r w:rsidR="00E0639C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. </w:t>
      </w:r>
    </w:p>
    <w:p w14:paraId="74194A36" w14:textId="5D04AAF7" w:rsidR="00E0639C" w:rsidRPr="00E90267" w:rsidRDefault="00E0639C" w:rsidP="00E0639C">
      <w:pPr>
        <w:spacing w:line="0" w:lineRule="atLeast"/>
        <w:ind w:right="-284"/>
        <w:jc w:val="both"/>
        <w:rPr>
          <w:rFonts w:ascii="Trebuchet MS" w:eastAsia="Trebuchet MS" w:hAnsi="Trebuchet MS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Proiectul va fi implementat de către ADR SE, în calitate de </w:t>
      </w: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lider de proiect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, în parteneriat cu Ministerul Tineretului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i Sportului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i Unitățile Administrativ-Teritoriale 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>selectate pentru finan</w:t>
      </w:r>
      <w:r w:rsidR="00EA1398" w:rsidRPr="00E90267">
        <w:rPr>
          <w:rFonts w:ascii="Trebuchet MS" w:eastAsia="Trebuchet MS" w:hAnsi="Trebuchet MS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>are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. Partenerii proiectului vor primi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pentru elaborarea de documenta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ii tehnico-economice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î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n vederea preg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tirii a 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>10 proiecte de infrastructur</w:t>
      </w:r>
      <w:r w:rsidR="00EA1398" w:rsidRPr="00E90267">
        <w:rPr>
          <w:rFonts w:ascii="Trebuchet MS" w:eastAsia="Trebuchet MS" w:hAnsi="Trebuchet MS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 xml:space="preserve"> aferente perioadei de programare 2021-2027, astfel: </w:t>
      </w:r>
    </w:p>
    <w:p w14:paraId="0940E8E4" w14:textId="710A8B5C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sz w:val="24"/>
          <w:szCs w:val="24"/>
          <w:lang w:bidi="ro-RO"/>
        </w:rPr>
        <w:t>UAT Jude</w:t>
      </w:r>
      <w:r w:rsidR="00EA1398" w:rsidRPr="00E90267">
        <w:rPr>
          <w:rFonts w:ascii="Trebuchet MS" w:eastAsia="Trebuchet MS" w:hAnsi="Trebuchet MS"/>
          <w:b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b/>
          <w:sz w:val="24"/>
          <w:szCs w:val="24"/>
          <w:lang w:bidi="ro-RO"/>
        </w:rPr>
        <w:t>ul Gala</w:t>
      </w:r>
      <w:r w:rsidR="00EA1398" w:rsidRPr="00E90267">
        <w:rPr>
          <w:rFonts w:ascii="Trebuchet MS" w:eastAsia="Trebuchet MS" w:hAnsi="Trebuchet MS"/>
          <w:b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b/>
          <w:sz w:val="24"/>
          <w:szCs w:val="24"/>
          <w:lang w:bidi="ro-RO"/>
        </w:rPr>
        <w:t>i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 xml:space="preserve">: „Reabilitarea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modernizarea infrastructurii de transport regional pe tronsonul func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ional de interes jude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ean DN24 - DJ 251B - DJ 251A - DJ 251H - DJ 251 - DJ 255A - DN 25”.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proiectului este de 2.250.000,00 lei din care 2.205.000,00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și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45.000,00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 contribu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ia proprie la cheltuielile eligibile ale proiectului;</w:t>
      </w:r>
    </w:p>
    <w:p w14:paraId="1A331C44" w14:textId="51227301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UAT Jude</w:t>
      </w:r>
      <w:r w:rsidR="00EA1398"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ul Brăila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: „Reabilitare Drum Jude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ean DJ 203R km 0+000 – km 35+530”.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proiectului este de 2.866.660,44 lei din care 2.809.327,23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și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57.333,21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 contribuţia proprie la cheltuielile eligibile ale proiectului;</w:t>
      </w:r>
    </w:p>
    <w:p w14:paraId="35D02157" w14:textId="02F84CEB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UAT Județul Buzău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: „Stimularea mobilit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ii la nivel regional prin modernizarea infrastructurii rutiere de transport pe tronsonul Vintil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Vod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- Plaiul Nucului, jud. Buz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u”.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este de 1.403.248,00 lei din care 1.375.183,04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și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28.064,96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 contribuţia proprie la cheltuielile eligibile ale proiectului;</w:t>
      </w:r>
    </w:p>
    <w:p w14:paraId="0C9BC8C5" w14:textId="77777777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lastRenderedPageBreak/>
        <w:t>UAT Județul Constanța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: </w:t>
      </w:r>
    </w:p>
    <w:p w14:paraId="4F71EFF4" w14:textId="4C3A7577" w:rsidR="00E0639C" w:rsidRPr="00E90267" w:rsidRDefault="00E0639C" w:rsidP="00E0639C">
      <w:pPr>
        <w:pStyle w:val="ListParagraph"/>
        <w:numPr>
          <w:ilvl w:val="0"/>
          <w:numId w:val="2"/>
        </w:numPr>
        <w:spacing w:line="0" w:lineRule="atLeast"/>
        <w:ind w:left="630" w:right="-284" w:hanging="9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„Reabilitarea și modernizarea drumurilor județene DJ226A Tronsonul DN22/Tariverde – Cogealac și DJ226B Tronsonul Cogealac – Gradina – Pantelimon – DN2A/Crucea”.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proiectului este de 1.999.999,99 lei din care 1.959.999,99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și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40.000,00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 contribuţia proprie la cheltuielile eligibile ale proiectului;</w:t>
      </w:r>
    </w:p>
    <w:p w14:paraId="610F3AEE" w14:textId="7868CFCB" w:rsidR="00E0639C" w:rsidRPr="00E90267" w:rsidRDefault="00E0639C" w:rsidP="00E0639C">
      <w:pPr>
        <w:pStyle w:val="ListParagraph"/>
        <w:numPr>
          <w:ilvl w:val="0"/>
          <w:numId w:val="2"/>
        </w:numPr>
        <w:spacing w:line="0" w:lineRule="atLeast"/>
        <w:ind w:left="630" w:right="-284" w:hanging="9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„Conservarea, protejarea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i punerea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î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n valoare a Ansamblului Rupestru Murfatlar”.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proiectului este de 2.600.000,00 lei din care 2.548.000,00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și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52.000,00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contribuţie la cheltuielile eligibile ale proiectului;</w:t>
      </w:r>
    </w:p>
    <w:p w14:paraId="2054ADC1" w14:textId="2032C539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UATJudețul Vrancea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: „Modernizare infrastructură rutieră de drum județean 204E dintre localitățile Mirceștii Noi-Ciușlea-Străjescu-Doaga-DN24”.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este de 3.225.637,80 lei din care 3.161.125,04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și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64.512,76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contribuţia proprie la cheltuielile eligibile ale proiectului;</w:t>
      </w:r>
    </w:p>
    <w:p w14:paraId="6B9A912A" w14:textId="77777777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UATJudețul Tulcea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: </w:t>
      </w:r>
    </w:p>
    <w:p w14:paraId="23BFE01C" w14:textId="50EB6502" w:rsidR="00E0639C" w:rsidRPr="00E90267" w:rsidRDefault="00E0639C" w:rsidP="00E0639C">
      <w:pPr>
        <w:pStyle w:val="ListParagraph"/>
        <w:numPr>
          <w:ilvl w:val="0"/>
          <w:numId w:val="3"/>
        </w:numPr>
        <w:spacing w:line="0" w:lineRule="atLeast"/>
        <w:ind w:left="540" w:right="-284" w:firstLine="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„Modernizare infrastructur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de transport regional pe traseul Sarighiol de Deal– Rahman”.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proiectului este de 1.844.500,00 lei din care 1.807.610,00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și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36.890,00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contribuţia proprie la cheltuielile eligibile ale proiectului;</w:t>
      </w:r>
    </w:p>
    <w:p w14:paraId="130562B9" w14:textId="63F8A71E" w:rsidR="00E0639C" w:rsidRPr="00E90267" w:rsidRDefault="00E0639C" w:rsidP="00E0639C">
      <w:pPr>
        <w:pStyle w:val="ListParagraph"/>
        <w:numPr>
          <w:ilvl w:val="0"/>
          <w:numId w:val="3"/>
        </w:numPr>
        <w:spacing w:line="0" w:lineRule="atLeast"/>
        <w:ind w:left="540" w:right="-284" w:firstLine="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„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Î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mbun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irea infrastructurii publice de turism prin reamenajarea arhitectural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Falezei Tulcea”. Valoarea total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proiectului este de 2.177.700,00 lei din care 2.134.146,00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și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Bugetul de Stat)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43.554,00 lei reprezint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 contribuţia proprie la cheltuielile eligibile ale proiectului;</w:t>
      </w:r>
    </w:p>
    <w:p w14:paraId="50A910CC" w14:textId="56B0B27B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UAT Municipiul Gala</w:t>
      </w:r>
      <w:r w:rsidR="00EA1398"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i: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„Revitalizarea turismului din Gala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i, prin valorificarea durabil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elementelor de patrimoniu cultural </w:t>
      </w:r>
      <w:r w:rsidR="00EA1398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natural de pe Faleza Dun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rii”. Valoare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total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este de 2.180.140,00 lei din care 2.136.537,20 lei reprezint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și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Bugetul de Stat)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43.602,80 lei reprezint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 contribuţia proprie la cheltuielile eligibile ale proiectului;</w:t>
      </w:r>
    </w:p>
    <w:p w14:paraId="1034CAE3" w14:textId="77777777" w:rsidR="00E0639C" w:rsidRPr="00E90267" w:rsidRDefault="00E0639C" w:rsidP="00E0639C">
      <w:pPr>
        <w:pStyle w:val="ListParagraph"/>
        <w:numPr>
          <w:ilvl w:val="0"/>
          <w:numId w:val="1"/>
        </w:num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Ministerul Tineretului și Sportului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: „Reabilitarea Centrului de agrement 2 Mai”.</w:t>
      </w:r>
    </w:p>
    <w:p w14:paraId="54581691" w14:textId="388C8A8A" w:rsidR="00E0639C" w:rsidRDefault="00E0639C" w:rsidP="00E0639C">
      <w:pPr>
        <w:pStyle w:val="ListParagraph"/>
        <w:spacing w:line="0" w:lineRule="atLeast"/>
        <w:ind w:left="578"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Valoarea total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este de 689.981,04 lei din care 586.483,88 lei reprezint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finan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(FEDR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și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Bugetul de Stat)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103.497,16 lei reprezint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contribuţia proprie la cheltuielile eligibile ale proiectului.</w:t>
      </w:r>
    </w:p>
    <w:p w14:paraId="0873ABD6" w14:textId="77777777" w:rsidR="00DD67CC" w:rsidRPr="00216B72" w:rsidRDefault="00DD67CC" w:rsidP="00DD67CC">
      <w:pPr>
        <w:pStyle w:val="ListParagraph"/>
        <w:spacing w:line="0" w:lineRule="atLeast"/>
        <w:ind w:left="578" w:right="-284"/>
        <w:jc w:val="both"/>
        <w:rPr>
          <w:rFonts w:ascii="Trebuchet MS" w:eastAsia="Trebuchet MS" w:hAnsi="Trebuchet MS"/>
          <w:color w:val="231F20"/>
          <w:sz w:val="12"/>
          <w:szCs w:val="12"/>
          <w:lang w:bidi="ro-RO"/>
        </w:rPr>
      </w:pPr>
    </w:p>
    <w:p w14:paraId="20E8BD79" w14:textId="77A16737" w:rsidR="00DD67CC" w:rsidRPr="00DD67CC" w:rsidRDefault="00DD67CC" w:rsidP="00DD67CC">
      <w:pPr>
        <w:pStyle w:val="ListParagraph"/>
        <w:spacing w:line="0" w:lineRule="atLeast"/>
        <w:ind w:left="578"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Proiectul de investiții 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>pentru r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eabilitarea Centrului de agrement 2 Mai</w:t>
      </w: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</w:t>
      </w: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>își propune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>, în principal</w:t>
      </w: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: </w:t>
      </w:r>
    </w:p>
    <w:p w14:paraId="1BB999DC" w14:textId="7D2D3592" w:rsidR="00DD67CC" w:rsidRDefault="00DD67CC" w:rsidP="00216B72">
      <w:pPr>
        <w:pStyle w:val="ListParagraph"/>
        <w:numPr>
          <w:ilvl w:val="0"/>
          <w:numId w:val="4"/>
        </w:numPr>
        <w:tabs>
          <w:tab w:val="left" w:pos="990"/>
        </w:tabs>
        <w:spacing w:line="0" w:lineRule="atLeast"/>
        <w:ind w:left="540" w:right="-284" w:firstLine="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>Reabilitarea pavilioanelor (2) de cazare, corpului administrativ, bucătăriei, spălătorului, clubului, teatrului de vară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etc;</w:t>
      </w:r>
    </w:p>
    <w:p w14:paraId="4A6D10C8" w14:textId="519D8B66" w:rsidR="00DD67CC" w:rsidRDefault="00DD67CC" w:rsidP="00216B72">
      <w:pPr>
        <w:pStyle w:val="ListParagraph"/>
        <w:numPr>
          <w:ilvl w:val="0"/>
          <w:numId w:val="4"/>
        </w:numPr>
        <w:tabs>
          <w:tab w:val="left" w:pos="990"/>
        </w:tabs>
        <w:spacing w:line="0" w:lineRule="atLeast"/>
        <w:ind w:left="540" w:right="-284" w:firstLine="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>Reabilitarea spațiilor de ag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>r</w:t>
      </w: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>ement existente (teatru de vară, loc de joacă, teren de minigolf)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</w:t>
      </w: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și amenajarea 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>unor</w:t>
      </w: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spații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noi;</w:t>
      </w:r>
    </w:p>
    <w:p w14:paraId="23F9AB56" w14:textId="343B4E30" w:rsidR="00DD67CC" w:rsidRDefault="00DD67CC" w:rsidP="00216B72">
      <w:pPr>
        <w:pStyle w:val="ListParagraph"/>
        <w:numPr>
          <w:ilvl w:val="0"/>
          <w:numId w:val="4"/>
        </w:numPr>
        <w:tabs>
          <w:tab w:val="left" w:pos="990"/>
        </w:tabs>
        <w:spacing w:line="0" w:lineRule="atLeast"/>
        <w:ind w:left="540" w:right="-284" w:firstLine="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DD67CC">
        <w:rPr>
          <w:rFonts w:ascii="Trebuchet MS" w:eastAsia="Trebuchet MS" w:hAnsi="Trebuchet MS"/>
          <w:color w:val="231F20"/>
          <w:sz w:val="24"/>
          <w:szCs w:val="24"/>
          <w:lang w:bidi="ro-RO"/>
        </w:rPr>
        <w:t>Lucrări de accesibilizare a spațiilor pentru persoane cu dizabilități motorii, lucrări și dotări pentru accesibilizarea spațiilor interioare și exterioare pentru persoane cu deficiențe de văz și auz</w:t>
      </w:r>
      <w:r>
        <w:rPr>
          <w:rFonts w:ascii="Trebuchet MS" w:eastAsia="Trebuchet MS" w:hAnsi="Trebuchet MS"/>
          <w:color w:val="231F20"/>
          <w:sz w:val="24"/>
          <w:szCs w:val="24"/>
          <w:lang w:bidi="ro-RO"/>
        </w:rPr>
        <w:t>;</w:t>
      </w:r>
    </w:p>
    <w:p w14:paraId="77AA9050" w14:textId="5A9D782C" w:rsidR="00DD67CC" w:rsidRDefault="00DD67CC" w:rsidP="00216B72">
      <w:pPr>
        <w:pStyle w:val="ListParagraph"/>
        <w:numPr>
          <w:ilvl w:val="0"/>
          <w:numId w:val="4"/>
        </w:numPr>
        <w:tabs>
          <w:tab w:val="left" w:pos="990"/>
        </w:tabs>
        <w:spacing w:line="0" w:lineRule="atLeast"/>
        <w:ind w:left="540" w:right="-284" w:firstLine="0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Lucrări și dotări în scopul eficientizării energetice </w:t>
      </w:r>
      <w:r w:rsidRP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>(</w:t>
      </w:r>
      <w:r w:rsidRP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>înveliș exterior, tâmplărie termoizolantă, reparații învelitoare, iluminat cu LED etc</w:t>
      </w:r>
      <w:r w:rsidRP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) și </w:t>
      </w:r>
      <w:r w:rsid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>p</w:t>
      </w:r>
      <w:r w:rsidRP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entru utilizarea resurselor regenerabile de energie adecvate </w:t>
      </w:r>
      <w:r w:rsid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la </w:t>
      </w:r>
      <w:r w:rsidRP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>potențialul zonei</w:t>
      </w:r>
      <w:r w:rsidR="00216B72">
        <w:rPr>
          <w:rFonts w:ascii="Trebuchet MS" w:eastAsia="Trebuchet MS" w:hAnsi="Trebuchet MS"/>
          <w:color w:val="231F20"/>
          <w:sz w:val="24"/>
          <w:szCs w:val="24"/>
          <w:lang w:bidi="ro-RO"/>
        </w:rPr>
        <w:t>.</w:t>
      </w:r>
    </w:p>
    <w:p w14:paraId="4550D3E3" w14:textId="2E9F64FA" w:rsidR="008A2C83" w:rsidRPr="00E90267" w:rsidRDefault="008A2C83" w:rsidP="002B2FDC">
      <w:pPr>
        <w:pStyle w:val="NormalWeb"/>
        <w:shd w:val="clear" w:color="auto" w:fill="FFFFFF"/>
        <w:spacing w:before="0" w:beforeAutospacing="0" w:after="0" w:afterAutospacing="0" w:line="276" w:lineRule="auto"/>
        <w:ind w:right="-157"/>
        <w:jc w:val="both"/>
        <w:rPr>
          <w:rFonts w:ascii="Trebuchet MS" w:eastAsia="Trebuchet MS" w:hAnsi="Trebuchet MS" w:cs="Arial"/>
          <w:i/>
          <w:iCs/>
          <w:color w:val="231F20"/>
          <w:sz w:val="22"/>
          <w:szCs w:val="22"/>
          <w:lang w:val="ro-RO" w:eastAsia="ro-RO"/>
        </w:rPr>
      </w:pPr>
    </w:p>
    <w:p w14:paraId="6A067E27" w14:textId="77777777" w:rsidR="00E0639C" w:rsidRPr="00E90267" w:rsidRDefault="00E0639C" w:rsidP="00E0639C">
      <w:pPr>
        <w:spacing w:after="240"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Obiectivul general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al proiectului îl constituie pregătirea de proiecte mature pentru perioada de programare 2021-2027 la nivelul Regiunii de Dezvoltare Sud-Est.</w:t>
      </w:r>
    </w:p>
    <w:p w14:paraId="3B3877ED" w14:textId="55A53EF5" w:rsidR="00E0639C" w:rsidRPr="00E90267" w:rsidRDefault="00E0639C" w:rsidP="00E0639C">
      <w:pPr>
        <w:spacing w:after="240"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lastRenderedPageBreak/>
        <w:t xml:space="preserve">Rezultate așteptate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în urma implementării proiectului: 10 documentații tehnico-economice elaborate la nivelul Regiunii de Dezvoltare Sud-Est, aferente proiectelor din portofoliul 2021-2027 pe domeniile centre de agrement/baze turistice (tabere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colare), infrastructur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servicii publice de turism, inclusiv obiectivele de patrimoniu cu poten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ial turistic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infrastructur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rutier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de interes jude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ean, inclusiv variante ocolitoare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i/sau drumuri de leg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tur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. </w:t>
      </w:r>
    </w:p>
    <w:p w14:paraId="005D96D8" w14:textId="5AB5843D" w:rsidR="00E0639C" w:rsidRPr="00E90267" w:rsidRDefault="00E0639C" w:rsidP="00E0639C">
      <w:pPr>
        <w:spacing w:after="240"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>Perioada de implementare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 activităţilor este de 30 luni,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î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n perioada 01.07.2020 - 31.12.2022. </w:t>
      </w:r>
    </w:p>
    <w:p w14:paraId="2170847C" w14:textId="692B8583" w:rsidR="00E0639C" w:rsidRPr="00E90267" w:rsidRDefault="00E0639C" w:rsidP="00E0639C">
      <w:pPr>
        <w:spacing w:line="0" w:lineRule="atLeast"/>
        <w:ind w:right="-284"/>
        <w:jc w:val="both"/>
        <w:rPr>
          <w:rFonts w:ascii="Trebuchet MS" w:eastAsia="Trebuchet MS" w:hAnsi="Trebuchet MS"/>
          <w:color w:val="231F20"/>
          <w:sz w:val="24"/>
          <w:szCs w:val="24"/>
          <w:lang w:bidi="ro-RO"/>
        </w:rPr>
      </w:pPr>
      <w:r w:rsidRPr="00E90267">
        <w:rPr>
          <w:rFonts w:ascii="Trebuchet MS" w:eastAsia="Trebuchet MS" w:hAnsi="Trebuchet MS"/>
          <w:b/>
          <w:color w:val="231F20"/>
          <w:sz w:val="24"/>
          <w:szCs w:val="24"/>
          <w:lang w:bidi="ro-RO"/>
        </w:rPr>
        <w:t xml:space="preserve">Valoarea totală a 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>contractului de finan</w:t>
      </w:r>
      <w:r w:rsidR="00E90267" w:rsidRPr="00E90267">
        <w:rPr>
          <w:rFonts w:ascii="Trebuchet MS" w:eastAsia="Trebuchet MS" w:hAnsi="Trebuchet MS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sz w:val="24"/>
          <w:szCs w:val="24"/>
          <w:lang w:bidi="ro-RO"/>
        </w:rPr>
        <w:t xml:space="preserve">are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este de 25.821.585,20 lei, din care 18.778.112,85 lei reprezint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valoarea eligibil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nerambursabil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din FEDR 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ș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 2.799.329,73 lei reprezint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valoare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eligibil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nerambursabil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din bugetul na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ional. Valoarea aferent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asigur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rii managementului contractului de finan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de c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tre ADR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 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SE este de 854.030,20 lei, reprezent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â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nd 100% finan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ț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are nerambursabil</w:t>
      </w:r>
      <w:r w:rsidR="00E90267"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>ă</w:t>
      </w:r>
      <w:r w:rsidRPr="00E90267">
        <w:rPr>
          <w:rFonts w:ascii="Trebuchet MS" w:eastAsia="Trebuchet MS" w:hAnsi="Trebuchet MS"/>
          <w:color w:val="231F20"/>
          <w:sz w:val="24"/>
          <w:szCs w:val="24"/>
          <w:lang w:bidi="ro-RO"/>
        </w:rPr>
        <w:t xml:space="preserve">.  </w:t>
      </w:r>
    </w:p>
    <w:p w14:paraId="74973C5F" w14:textId="77777777" w:rsidR="00E0639C" w:rsidRPr="00E90267" w:rsidRDefault="00E0639C" w:rsidP="00E0639C">
      <w:pPr>
        <w:spacing w:line="0" w:lineRule="atLeast"/>
        <w:ind w:left="-426" w:right="-284" w:firstLine="426"/>
        <w:rPr>
          <w:rFonts w:ascii="Trebuchet MS" w:eastAsia="Trebuchet MS" w:hAnsi="Trebuchet MS"/>
          <w:color w:val="231F20"/>
          <w:sz w:val="24"/>
          <w:szCs w:val="24"/>
        </w:rPr>
      </w:pPr>
    </w:p>
    <w:p w14:paraId="6E6298FA" w14:textId="77777777" w:rsidR="002B2FDC" w:rsidRPr="00E90267" w:rsidRDefault="002B2FDC" w:rsidP="002B2FDC">
      <w:pPr>
        <w:spacing w:line="0" w:lineRule="atLeast"/>
        <w:ind w:right="-157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0BFD860B" w14:textId="77777777" w:rsidR="00E0639C" w:rsidRPr="00E90267" w:rsidRDefault="00E0639C" w:rsidP="00E0639C">
      <w:pPr>
        <w:spacing w:line="0" w:lineRule="atLeast"/>
        <w:ind w:left="-426" w:right="-284" w:firstLine="426"/>
        <w:jc w:val="center"/>
        <w:rPr>
          <w:rFonts w:ascii="Trebuchet MS" w:eastAsia="Trebuchet MS" w:hAnsi="Trebuchet MS"/>
          <w:b/>
          <w:i/>
          <w:color w:val="231F20"/>
          <w:sz w:val="22"/>
          <w:szCs w:val="24"/>
        </w:rPr>
      </w:pPr>
      <w:r w:rsidRPr="00E90267">
        <w:rPr>
          <w:rFonts w:ascii="Trebuchet MS" w:eastAsia="Trebuchet MS" w:hAnsi="Trebuchet MS"/>
          <w:b/>
          <w:i/>
          <w:color w:val="231F20"/>
          <w:sz w:val="22"/>
          <w:szCs w:val="24"/>
        </w:rPr>
        <w:t xml:space="preserve">Proiect cofinanțat din Fondul </w:t>
      </w:r>
      <w:sdt>
        <w:sdtPr>
          <w:rPr>
            <w:rFonts w:ascii="Trebuchet MS" w:eastAsia="Trebuchet MS" w:hAnsi="Trebuchet MS"/>
            <w:b/>
            <w:i/>
            <w:color w:val="231F20"/>
            <w:sz w:val="22"/>
            <w:szCs w:val="24"/>
          </w:rPr>
          <w:id w:val="525606354"/>
          <w:placeholder>
            <w:docPart w:val="08C4AAA692C04587A4A51DF48A1C4D59"/>
          </w:placeholder>
          <w:text/>
        </w:sdtPr>
        <w:sdtContent>
          <w:r w:rsidRPr="00E90267">
            <w:rPr>
              <w:rFonts w:ascii="Trebuchet MS" w:eastAsia="Trebuchet MS" w:hAnsi="Trebuchet MS"/>
              <w:b/>
              <w:i/>
              <w:color w:val="231F20"/>
              <w:sz w:val="22"/>
              <w:szCs w:val="24"/>
            </w:rPr>
            <w:t>European de Dezvoltare Regională</w:t>
          </w:r>
        </w:sdtContent>
      </w:sdt>
      <w:r w:rsidRPr="00E90267">
        <w:rPr>
          <w:rFonts w:ascii="Trebuchet MS" w:eastAsia="Trebuchet MS" w:hAnsi="Trebuchet MS"/>
          <w:b/>
          <w:i/>
          <w:color w:val="231F20"/>
          <w:sz w:val="22"/>
          <w:szCs w:val="24"/>
        </w:rPr>
        <w:t xml:space="preserve"> prin Programul </w:t>
      </w:r>
      <w:sdt>
        <w:sdtPr>
          <w:rPr>
            <w:rFonts w:ascii="Trebuchet MS" w:eastAsia="Trebuchet MS" w:hAnsi="Trebuchet MS"/>
            <w:b/>
            <w:i/>
            <w:color w:val="231F20"/>
            <w:sz w:val="22"/>
            <w:szCs w:val="24"/>
          </w:rPr>
          <w:id w:val="1176152564"/>
          <w:placeholder>
            <w:docPart w:val="095588FDF37A409A8C3FD44FBA859E0A"/>
          </w:placeholder>
          <w:text/>
        </w:sdtPr>
        <w:sdtContent>
          <w:r w:rsidRPr="00E90267">
            <w:rPr>
              <w:rFonts w:ascii="Trebuchet MS" w:eastAsia="Trebuchet MS" w:hAnsi="Trebuchet MS"/>
              <w:b/>
              <w:i/>
              <w:color w:val="231F20"/>
              <w:sz w:val="22"/>
              <w:szCs w:val="24"/>
            </w:rPr>
            <w:t>Operațional Asistență Tehnică 2014-2020</w:t>
          </w:r>
        </w:sdtContent>
      </w:sdt>
    </w:p>
    <w:p w14:paraId="180BFA4A" w14:textId="77777777" w:rsidR="00E0639C" w:rsidRPr="00E90267" w:rsidRDefault="00E0639C" w:rsidP="00E0639C">
      <w:pPr>
        <w:spacing w:line="0" w:lineRule="atLeast"/>
        <w:ind w:left="-426" w:right="-284" w:firstLine="426"/>
        <w:jc w:val="center"/>
        <w:rPr>
          <w:rFonts w:ascii="Trebuchet MS" w:eastAsia="Trebuchet MS" w:hAnsi="Trebuchet MS"/>
          <w:b/>
          <w:i/>
          <w:color w:val="231F20"/>
          <w:sz w:val="22"/>
          <w:szCs w:val="24"/>
        </w:rPr>
      </w:pPr>
    </w:p>
    <w:p w14:paraId="47B8BC64" w14:textId="77777777" w:rsidR="00EF6BCB" w:rsidRPr="00E90267" w:rsidRDefault="00EF6BCB" w:rsidP="002B2FDC">
      <w:pPr>
        <w:spacing w:line="397" w:lineRule="exact"/>
        <w:ind w:left="-180" w:right="-157"/>
        <w:jc w:val="both"/>
        <w:rPr>
          <w:rFonts w:ascii="Times New Roman" w:eastAsia="Times New Roman" w:hAnsi="Times New Roman"/>
          <w:sz w:val="24"/>
          <w:szCs w:val="24"/>
        </w:rPr>
      </w:pPr>
    </w:p>
    <w:p w14:paraId="35CB142B" w14:textId="050883A7" w:rsidR="008A2C83" w:rsidRDefault="008A2C83" w:rsidP="002B2FDC">
      <w:pPr>
        <w:spacing w:line="0" w:lineRule="atLeast"/>
        <w:ind w:right="-157"/>
        <w:jc w:val="both"/>
        <w:rPr>
          <w:rFonts w:ascii="Trebuchet MS" w:eastAsia="Trebuchet MS" w:hAnsi="Trebuchet MS"/>
          <w:color w:val="231F20"/>
          <w:sz w:val="22"/>
          <w:szCs w:val="22"/>
        </w:rPr>
      </w:pPr>
      <w:r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Informații suplimentare se pot obține la sediul Ministerului Tineretului și Sportului, Str. Vasile Conta nr. 16, </w:t>
      </w:r>
      <w:r w:rsidR="00743042"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sector 2, </w:t>
      </w:r>
      <w:r w:rsidR="00221D59"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București, </w:t>
      </w:r>
      <w:r w:rsidR="00743042" w:rsidRPr="00E90267">
        <w:rPr>
          <w:rFonts w:ascii="Trebuchet MS" w:eastAsia="Trebuchet MS" w:hAnsi="Trebuchet MS"/>
          <w:color w:val="231F20"/>
          <w:sz w:val="22"/>
          <w:szCs w:val="22"/>
        </w:rPr>
        <w:t>Tel.: + 40 (0)21 307 64 17</w:t>
      </w:r>
      <w:r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, </w:t>
      </w:r>
      <w:r w:rsidR="00743042" w:rsidRPr="00E90267">
        <w:rPr>
          <w:rFonts w:ascii="Trebuchet MS" w:eastAsia="Trebuchet MS" w:hAnsi="Trebuchet MS"/>
          <w:color w:val="231F20"/>
          <w:sz w:val="22"/>
          <w:szCs w:val="22"/>
        </w:rPr>
        <w:t>Fax: + 4040 (0)21 307 64 18, E</w:t>
      </w:r>
      <w:r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mail: </w:t>
      </w:r>
      <w:hyperlink r:id="rId12" w:history="1">
        <w:r w:rsidR="00743042" w:rsidRPr="00E90267">
          <w:rPr>
            <w:rStyle w:val="Hyperlink"/>
            <w:rFonts w:ascii="Trebuchet MS" w:eastAsia="Trebuchet MS" w:hAnsi="Trebuchet MS"/>
            <w:sz w:val="22"/>
            <w:szCs w:val="22"/>
          </w:rPr>
          <w:t>comunicare@mts.ro</w:t>
        </w:r>
      </w:hyperlink>
      <w:r w:rsidR="00743042"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, </w:t>
      </w:r>
      <w:r w:rsidRPr="00E90267">
        <w:rPr>
          <w:rFonts w:ascii="Trebuchet MS" w:eastAsia="Trebuchet MS" w:hAnsi="Trebuchet MS"/>
          <w:color w:val="231F20"/>
          <w:sz w:val="22"/>
          <w:szCs w:val="22"/>
        </w:rPr>
        <w:t xml:space="preserve">website: </w:t>
      </w:r>
      <w:hyperlink r:id="rId13" w:history="1">
        <w:r w:rsidRPr="00E90267">
          <w:rPr>
            <w:rStyle w:val="Hyperlink"/>
            <w:rFonts w:ascii="Trebuchet MS" w:eastAsia="Trebuchet MS" w:hAnsi="Trebuchet MS"/>
            <w:sz w:val="22"/>
            <w:szCs w:val="22"/>
          </w:rPr>
          <w:t>www.mts.ro</w:t>
        </w:r>
      </w:hyperlink>
    </w:p>
    <w:p w14:paraId="18C7E7DF" w14:textId="41BCA304" w:rsidR="00C35E30" w:rsidRDefault="00C35E30" w:rsidP="002B2FDC">
      <w:pPr>
        <w:ind w:right="-157"/>
        <w:jc w:val="both"/>
      </w:pPr>
    </w:p>
    <w:p w14:paraId="7CC6AFC2" w14:textId="6D51A77A" w:rsidR="00391476" w:rsidRDefault="00391476" w:rsidP="002B2FDC">
      <w:pPr>
        <w:ind w:right="-157"/>
        <w:jc w:val="both"/>
      </w:pPr>
    </w:p>
    <w:sectPr w:rsidR="00391476" w:rsidSect="002B2FDC">
      <w:footerReference w:type="default" r:id="rId14"/>
      <w:pgSz w:w="11906" w:h="16838"/>
      <w:pgMar w:top="990" w:right="1286" w:bottom="720" w:left="1417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75D2" w14:textId="77777777" w:rsidR="00845C0A" w:rsidRDefault="00845C0A" w:rsidP="00AB1717">
      <w:r>
        <w:separator/>
      </w:r>
    </w:p>
  </w:endnote>
  <w:endnote w:type="continuationSeparator" w:id="0">
    <w:p w14:paraId="7F68DDEE" w14:textId="77777777" w:rsidR="00845C0A" w:rsidRDefault="00845C0A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5234" w14:textId="2524109A" w:rsidR="00AB1717" w:rsidRDefault="00620682" w:rsidP="00EF6BCB">
    <w:pPr>
      <w:pStyle w:val="Foot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59818E25" wp14:editId="739DAAF9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29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9D6A" w14:textId="77777777" w:rsidR="00845C0A" w:rsidRDefault="00845C0A" w:rsidP="00AB1717">
      <w:r>
        <w:separator/>
      </w:r>
    </w:p>
  </w:footnote>
  <w:footnote w:type="continuationSeparator" w:id="0">
    <w:p w14:paraId="6F60A74D" w14:textId="77777777" w:rsidR="00845C0A" w:rsidRDefault="00845C0A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E8129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FC82"/>
      </v:shape>
    </w:pict>
  </w:numPicBullet>
  <w:abstractNum w:abstractNumId="0" w15:restartNumberingAfterBreak="0">
    <w:nsid w:val="0BA02D9A"/>
    <w:multiLevelType w:val="hybridMultilevel"/>
    <w:tmpl w:val="50DEA96C"/>
    <w:lvl w:ilvl="0" w:tplc="04090007">
      <w:start w:val="1"/>
      <w:numFmt w:val="bullet"/>
      <w:lvlText w:val=""/>
      <w:lvlPicBulletId w:val="0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106A5471"/>
    <w:multiLevelType w:val="hybridMultilevel"/>
    <w:tmpl w:val="97AE8E48"/>
    <w:lvl w:ilvl="0" w:tplc="0418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4F6F11E2"/>
    <w:multiLevelType w:val="hybridMultilevel"/>
    <w:tmpl w:val="677EB5C4"/>
    <w:lvl w:ilvl="0" w:tplc="F738E178">
      <w:start w:val="6"/>
      <w:numFmt w:val="bullet"/>
      <w:lvlText w:val="-"/>
      <w:lvlJc w:val="left"/>
      <w:pPr>
        <w:ind w:left="578" w:hanging="360"/>
      </w:pPr>
      <w:rPr>
        <w:rFonts w:ascii="Trebuchet MS" w:eastAsia="Trebuchet MS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6734757"/>
    <w:multiLevelType w:val="hybridMultilevel"/>
    <w:tmpl w:val="3F589468"/>
    <w:lvl w:ilvl="0" w:tplc="0418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07E"/>
    <w:rsid w:val="000078C4"/>
    <w:rsid w:val="000C2E11"/>
    <w:rsid w:val="000E2DE4"/>
    <w:rsid w:val="000F3DAC"/>
    <w:rsid w:val="000F4924"/>
    <w:rsid w:val="001E122F"/>
    <w:rsid w:val="001E65EA"/>
    <w:rsid w:val="00216B72"/>
    <w:rsid w:val="00221D59"/>
    <w:rsid w:val="0023057F"/>
    <w:rsid w:val="002343E5"/>
    <w:rsid w:val="00246A92"/>
    <w:rsid w:val="002B2FDC"/>
    <w:rsid w:val="002C1977"/>
    <w:rsid w:val="002E226E"/>
    <w:rsid w:val="002E2DAE"/>
    <w:rsid w:val="003700DE"/>
    <w:rsid w:val="00391476"/>
    <w:rsid w:val="003B196B"/>
    <w:rsid w:val="003E3DB5"/>
    <w:rsid w:val="0040230B"/>
    <w:rsid w:val="00435098"/>
    <w:rsid w:val="0046631C"/>
    <w:rsid w:val="00474D39"/>
    <w:rsid w:val="004914E6"/>
    <w:rsid w:val="005416C3"/>
    <w:rsid w:val="00574D74"/>
    <w:rsid w:val="00590816"/>
    <w:rsid w:val="005E4A75"/>
    <w:rsid w:val="006024BB"/>
    <w:rsid w:val="00620682"/>
    <w:rsid w:val="00634285"/>
    <w:rsid w:val="00671F84"/>
    <w:rsid w:val="006B0C80"/>
    <w:rsid w:val="006D53E3"/>
    <w:rsid w:val="006F11D9"/>
    <w:rsid w:val="006F6F7C"/>
    <w:rsid w:val="00714914"/>
    <w:rsid w:val="00743042"/>
    <w:rsid w:val="007813EC"/>
    <w:rsid w:val="00797878"/>
    <w:rsid w:val="008058D7"/>
    <w:rsid w:val="00816E71"/>
    <w:rsid w:val="00842048"/>
    <w:rsid w:val="00844E83"/>
    <w:rsid w:val="00845C0A"/>
    <w:rsid w:val="008A2C83"/>
    <w:rsid w:val="008B77B4"/>
    <w:rsid w:val="008E65E2"/>
    <w:rsid w:val="00950BCB"/>
    <w:rsid w:val="00A109F5"/>
    <w:rsid w:val="00AA0560"/>
    <w:rsid w:val="00AB1717"/>
    <w:rsid w:val="00AD1385"/>
    <w:rsid w:val="00AD5D6D"/>
    <w:rsid w:val="00BD4500"/>
    <w:rsid w:val="00C063D5"/>
    <w:rsid w:val="00C35E30"/>
    <w:rsid w:val="00C36209"/>
    <w:rsid w:val="00C7407E"/>
    <w:rsid w:val="00C87716"/>
    <w:rsid w:val="00D11D0F"/>
    <w:rsid w:val="00D46AFF"/>
    <w:rsid w:val="00D66A9D"/>
    <w:rsid w:val="00D73098"/>
    <w:rsid w:val="00DD67CC"/>
    <w:rsid w:val="00DF39A1"/>
    <w:rsid w:val="00E0639C"/>
    <w:rsid w:val="00E46EEB"/>
    <w:rsid w:val="00E90267"/>
    <w:rsid w:val="00EA1398"/>
    <w:rsid w:val="00EC532B"/>
    <w:rsid w:val="00EF53ED"/>
    <w:rsid w:val="00EF6BCB"/>
    <w:rsid w:val="00F60F01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character" w:styleId="Emphasis">
    <w:name w:val="Emphasis"/>
    <w:basedOn w:val="DefaultParagraphFont"/>
    <w:uiPriority w:val="20"/>
    <w:qFormat/>
    <w:rsid w:val="00671F84"/>
    <w:rPr>
      <w:i/>
      <w:iCs/>
    </w:rPr>
  </w:style>
  <w:style w:type="paragraph" w:styleId="NormalWeb">
    <w:name w:val="Normal (Web)"/>
    <w:basedOn w:val="Normal"/>
    <w:uiPriority w:val="99"/>
    <w:unhideWhenUsed/>
    <w:rsid w:val="00671F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71F84"/>
    <w:rPr>
      <w:b/>
      <w:bCs/>
    </w:rPr>
  </w:style>
  <w:style w:type="character" w:styleId="Hyperlink">
    <w:name w:val="Hyperlink"/>
    <w:basedOn w:val="DefaultParagraphFont"/>
    <w:uiPriority w:val="99"/>
    <w:unhideWhenUsed/>
    <w:rsid w:val="00671F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C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t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icare@mts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  <w:docPart>
      <w:docPartPr>
        <w:name w:val="08C4AAA692C04587A4A51DF48A1C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57F9-BD02-447E-A696-2C6CA5F38FB5}"/>
      </w:docPartPr>
      <w:docPartBody>
        <w:p w:rsidR="00000000" w:rsidRDefault="00B96677" w:rsidP="00B96677">
          <w:pPr>
            <w:pStyle w:val="08C4AAA692C04587A4A51DF48A1C4D59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  <w:docPart>
      <w:docPartPr>
        <w:name w:val="095588FDF37A409A8C3FD44FBA85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D70B-979C-4201-B81D-81D686D9900C}"/>
      </w:docPartPr>
      <w:docPartBody>
        <w:p w:rsidR="00000000" w:rsidRDefault="00B96677" w:rsidP="00B96677">
          <w:pPr>
            <w:pStyle w:val="095588FDF37A409A8C3FD44FBA859E0A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160CFE"/>
    <w:rsid w:val="00164F53"/>
    <w:rsid w:val="00206FF5"/>
    <w:rsid w:val="00270263"/>
    <w:rsid w:val="003206AE"/>
    <w:rsid w:val="004679AE"/>
    <w:rsid w:val="005B65AC"/>
    <w:rsid w:val="00722EBC"/>
    <w:rsid w:val="00800150"/>
    <w:rsid w:val="00B96677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96677"/>
    <w:rPr>
      <w:color w:val="808080"/>
    </w:rPr>
  </w:style>
  <w:style w:type="paragraph" w:customStyle="1" w:styleId="9E672E7E476C4F9D9169071BF1DFE74C">
    <w:name w:val="9E672E7E476C4F9D9169071BF1DFE74C"/>
  </w:style>
  <w:style w:type="paragraph" w:customStyle="1" w:styleId="A2E4DB052A634B42AE66ECF4C6DC8F4E">
    <w:name w:val="A2E4DB052A634B42AE66ECF4C6DC8F4E"/>
    <w:rsid w:val="00B96677"/>
    <w:rPr>
      <w:lang w:val="en-US" w:eastAsia="en-US"/>
    </w:rPr>
  </w:style>
  <w:style w:type="paragraph" w:customStyle="1" w:styleId="08C4AAA692C04587A4A51DF48A1C4D59">
    <w:name w:val="08C4AAA692C04587A4A51DF48A1C4D59"/>
    <w:rsid w:val="00B96677"/>
    <w:rPr>
      <w:lang w:val="en-US" w:eastAsia="en-US"/>
    </w:rPr>
  </w:style>
  <w:style w:type="paragraph" w:customStyle="1" w:styleId="095588FDF37A409A8C3FD44FBA859E0A">
    <w:name w:val="095588FDF37A409A8C3FD44FBA859E0A"/>
    <w:rsid w:val="00B9667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2A5C-E82F-456A-A9F2-1FAC70CC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392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caraba silviu</cp:lastModifiedBy>
  <cp:revision>20</cp:revision>
  <cp:lastPrinted>2021-07-26T08:12:00Z</cp:lastPrinted>
  <dcterms:created xsi:type="dcterms:W3CDTF">2017-08-11T08:39:00Z</dcterms:created>
  <dcterms:modified xsi:type="dcterms:W3CDTF">2021-08-10T11:07:00Z</dcterms:modified>
</cp:coreProperties>
</file>